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8F" w:rsidRP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6C4C" w:rsidRPr="00B7759B" w:rsidRDefault="00431D2B" w:rsidP="00B86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0765" cy="8423553"/>
            <wp:effectExtent l="0" t="0" r="0" b="0"/>
            <wp:docPr id="1" name="Рисунок 1" descr="F:\Бабак Е.П\5 - 11 класи\Освітні програми\2024-2025 н.р\Освітня програма ІІ ст., 8-9 кл, 2024-2025\img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бак Е.П\5 - 11 класи\Освітні програми\2024-2025 н.р\Освітня програма ІІ ст., 8-9 кл, 2024-2025\img2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3003" w:rsidRPr="00F7320C" w:rsidRDefault="002C3003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C6E36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7B7B" w:rsidRPr="00F7320C">
        <w:rPr>
          <w:rFonts w:ascii="Times New Roman" w:eastAsia="Calibri" w:hAnsi="Times New Roman" w:cs="Times New Roman"/>
          <w:sz w:val="28"/>
          <w:szCs w:val="28"/>
        </w:rPr>
        <w:t xml:space="preserve">ІІ ступеня (базова середня освіта)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="006056CD">
        <w:rPr>
          <w:rFonts w:ascii="Times New Roman" w:eastAsia="Calibri" w:hAnsi="Times New Roman" w:cs="Times New Roman"/>
          <w:sz w:val="28"/>
          <w:szCs w:val="28"/>
        </w:rPr>
        <w:t>розроблена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Законів України «Про освіту», «Про</w:t>
      </w:r>
      <w:r w:rsidR="00447B7B">
        <w:rPr>
          <w:rFonts w:ascii="Times New Roman" w:eastAsia="Calibri" w:hAnsi="Times New Roman" w:cs="Times New Roman"/>
          <w:sz w:val="28"/>
          <w:szCs w:val="28"/>
        </w:rPr>
        <w:t xml:space="preserve"> 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 w:rsidR="00C655AA">
        <w:rPr>
          <w:rFonts w:ascii="Times New Roman" w:eastAsia="Calibri" w:hAnsi="Times New Roman" w:cs="Times New Roman"/>
          <w:sz w:val="28"/>
          <w:szCs w:val="28"/>
        </w:rPr>
        <w:t>світи»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сформована на основі Типової освітньої програми закладів загальної середньої освіти ІІ ступеня, затвердженої наказом Міністерства освіти і науки України від 20.04.2018р. № 405. </w:t>
      </w:r>
    </w:p>
    <w:p w:rsidR="001C6E36" w:rsidRPr="00F7320C" w:rsidRDefault="001C6E36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565992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65992">
        <w:rPr>
          <w:rFonts w:ascii="Times New Roman" w:hAnsi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447B7B">
        <w:rPr>
          <w:rFonts w:ascii="Times New Roman" w:hAnsi="Times New Roman"/>
          <w:b/>
          <w:i/>
          <w:sz w:val="28"/>
          <w:szCs w:val="28"/>
        </w:rPr>
        <w:t>х галузей, предметів, дисциплін</w:t>
      </w:r>
    </w:p>
    <w:p w:rsidR="00966711" w:rsidRPr="00053A0B" w:rsidRDefault="002C3003" w:rsidP="00053A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91951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учнів </w:t>
      </w:r>
      <w:r w:rsidR="00D82721">
        <w:rPr>
          <w:rFonts w:ascii="Times New Roman" w:hAnsi="Times New Roman"/>
          <w:sz w:val="28"/>
          <w:szCs w:val="28"/>
        </w:rPr>
        <w:t>8</w:t>
      </w:r>
      <w:r w:rsidRPr="00791951">
        <w:rPr>
          <w:rFonts w:ascii="Times New Roman" w:hAnsi="Times New Roman"/>
          <w:sz w:val="28"/>
          <w:szCs w:val="28"/>
        </w:rPr>
        <w:t xml:space="preserve">-9-х класів гімназії складає </w:t>
      </w:r>
      <w:r w:rsidR="00D82721">
        <w:rPr>
          <w:rFonts w:ascii="Times New Roman" w:hAnsi="Times New Roman"/>
          <w:sz w:val="28"/>
          <w:szCs w:val="28"/>
        </w:rPr>
        <w:t xml:space="preserve"> 2467,5</w:t>
      </w:r>
      <w:r w:rsidRPr="00791951">
        <w:rPr>
          <w:rFonts w:ascii="Times New Roman" w:hAnsi="Times New Roman"/>
          <w:sz w:val="28"/>
          <w:szCs w:val="28"/>
        </w:rPr>
        <w:t xml:space="preserve"> годин/навчальний рік: для 8-х класів  1207,5 годин/навчальний рік, для 9-х класів – 1260 годин/навчальний рік.</w:t>
      </w:r>
      <w:r w:rsidR="006A4287" w:rsidRPr="006A4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287"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</w:t>
      </w:r>
      <w:r w:rsidR="006A4287">
        <w:rPr>
          <w:rFonts w:ascii="Times New Roman" w:eastAsia="Calibri" w:hAnsi="Times New Roman" w:cs="Times New Roman"/>
          <w:sz w:val="28"/>
          <w:szCs w:val="28"/>
        </w:rPr>
        <w:t xml:space="preserve"> 23 листопада 2011 року № 1392 «</w:t>
      </w:r>
      <w:r w:rsidR="006A4287" w:rsidRPr="00F7320C">
        <w:rPr>
          <w:rFonts w:ascii="Times New Roman" w:eastAsia="Calibri" w:hAnsi="Times New Roman" w:cs="Times New Roman"/>
          <w:sz w:val="28"/>
          <w:szCs w:val="28"/>
        </w:rPr>
        <w:t>Про затвердження Державного стандарту базової і по</w:t>
      </w:r>
      <w:r w:rsidR="006A4287">
        <w:rPr>
          <w:rFonts w:ascii="Times New Roman" w:eastAsia="Calibri" w:hAnsi="Times New Roman" w:cs="Times New Roman"/>
          <w:sz w:val="28"/>
          <w:szCs w:val="28"/>
        </w:rPr>
        <w:t>вної загальної середньої освіти»</w:t>
      </w:r>
      <w:r w:rsidR="006A4287" w:rsidRPr="00F7320C">
        <w:rPr>
          <w:rFonts w:ascii="Times New Roman" w:eastAsia="Calibri" w:hAnsi="Times New Roman" w:cs="Times New Roman"/>
          <w:sz w:val="28"/>
          <w:szCs w:val="28"/>
        </w:rPr>
        <w:t xml:space="preserve"> години фізичної культури не враховуються при визначенні гранично допустимого навантаження учнів.</w:t>
      </w:r>
      <w:r w:rsidRPr="00791951">
        <w:rPr>
          <w:rFonts w:ascii="Times New Roman" w:hAnsi="Times New Roman"/>
          <w:sz w:val="28"/>
          <w:szCs w:val="28"/>
        </w:rPr>
        <w:t xml:space="preserve"> Детальний розподіл навчального навантаження на тиждень </w:t>
      </w:r>
      <w:r w:rsidRPr="00791951">
        <w:rPr>
          <w:rFonts w:ascii="Times New Roman" w:hAnsi="Times New Roman"/>
          <w:color w:val="000000"/>
          <w:sz w:val="28"/>
          <w:szCs w:val="28"/>
        </w:rPr>
        <w:t xml:space="preserve">окреслено у </w:t>
      </w:r>
      <w:r w:rsidRPr="00791951">
        <w:rPr>
          <w:rFonts w:ascii="Times New Roman" w:hAnsi="Times New Roman"/>
          <w:sz w:val="28"/>
          <w:szCs w:val="28"/>
        </w:rPr>
        <w:t>навчальних планах ІІ ступеня</w:t>
      </w:r>
      <w:r w:rsidR="00CF6FF3">
        <w:rPr>
          <w:rFonts w:ascii="Times New Roman" w:hAnsi="Times New Roman"/>
          <w:sz w:val="28"/>
          <w:szCs w:val="28"/>
        </w:rPr>
        <w:t xml:space="preserve"> гімназії</w:t>
      </w:r>
      <w:r w:rsidR="003D6002">
        <w:rPr>
          <w:rFonts w:ascii="Times New Roman" w:hAnsi="Times New Roman"/>
          <w:sz w:val="28"/>
          <w:szCs w:val="28"/>
        </w:rPr>
        <w:t xml:space="preserve"> (</w:t>
      </w:r>
      <w:r w:rsidR="003D6002" w:rsidRPr="00B63141">
        <w:rPr>
          <w:rFonts w:ascii="Times New Roman" w:hAnsi="Times New Roman"/>
          <w:sz w:val="28"/>
          <w:szCs w:val="28"/>
        </w:rPr>
        <w:t>додат</w:t>
      </w:r>
      <w:r w:rsidR="00220E55" w:rsidRPr="00B63141">
        <w:rPr>
          <w:rFonts w:ascii="Times New Roman" w:hAnsi="Times New Roman"/>
          <w:sz w:val="28"/>
          <w:szCs w:val="28"/>
        </w:rPr>
        <w:t>ок 1</w:t>
      </w:r>
      <w:r w:rsidR="00220E55">
        <w:rPr>
          <w:rFonts w:ascii="Times New Roman" w:hAnsi="Times New Roman"/>
          <w:sz w:val="28"/>
          <w:szCs w:val="28"/>
        </w:rPr>
        <w:t>)</w:t>
      </w:r>
      <w:r w:rsidRPr="00791951">
        <w:rPr>
          <w:rFonts w:ascii="Times New Roman" w:hAnsi="Times New Roman"/>
          <w:sz w:val="28"/>
          <w:szCs w:val="28"/>
        </w:rPr>
        <w:t>.</w:t>
      </w:r>
    </w:p>
    <w:p w:rsidR="002C3003" w:rsidRPr="00966711" w:rsidRDefault="00502659" w:rsidP="00966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зорієнтован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на роботу </w:t>
      </w:r>
      <w:r>
        <w:rPr>
          <w:rFonts w:ascii="Times New Roman" w:eastAsia="Calibri" w:hAnsi="Times New Roman" w:cs="Times New Roman"/>
          <w:sz w:val="28"/>
          <w:szCs w:val="28"/>
        </w:rPr>
        <w:t>основної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школи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9">
        <w:rPr>
          <w:rFonts w:ascii="Times New Roman" w:eastAsia="Calibri" w:hAnsi="Times New Roman" w:cs="Times New Roman"/>
          <w:sz w:val="28"/>
          <w:szCs w:val="28"/>
        </w:rPr>
        <w:t>Вони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 передбачають реалізацію освітніх галузей Базового навчального плану Державного стандарту через окремі предмети. 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 w:rsidR="00D93189">
        <w:rPr>
          <w:rFonts w:ascii="Times New Roman" w:eastAsia="Calibri" w:hAnsi="Times New Roman" w:cs="Times New Roman"/>
          <w:sz w:val="28"/>
          <w:szCs w:val="28"/>
        </w:rPr>
        <w:t>і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93189">
        <w:rPr>
          <w:rFonts w:ascii="Times New Roman" w:eastAsia="Calibri" w:hAnsi="Times New Roman" w:cs="Times New Roman"/>
          <w:sz w:val="28"/>
          <w:szCs w:val="28"/>
        </w:rPr>
        <w:t>и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 </w:t>
      </w:r>
    </w:p>
    <w:p w:rsidR="002C3003" w:rsidRPr="001B021A" w:rsidRDefault="002C3003" w:rsidP="001B021A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задоволення освітніх потреб учнів та їх батьків у </w:t>
      </w:r>
      <w:r w:rsidR="007005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9 класах передбач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поглиблене вивчення англійської мови (8-А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8-Б,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9-А</w:t>
      </w:r>
      <w:r w:rsidR="0022447F">
        <w:rPr>
          <w:rFonts w:ascii="Times New Roman" w:eastAsia="Times New Roman" w:hAnsi="Times New Roman" w:cs="Times New Roman"/>
          <w:sz w:val="28"/>
          <w:szCs w:val="28"/>
          <w:lang w:eastAsia="ru-RU"/>
        </w:rPr>
        <w:t>, 9-Б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поглиблене</w:t>
      </w:r>
      <w:r w:rsidR="001B021A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вивчення математики (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021A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, 9-В</w:t>
      </w:r>
      <w:r w:rsidR="001B021A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поглиблене вивчення 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мови (</w:t>
      </w:r>
      <w:r w:rsidR="0022447F">
        <w:rPr>
          <w:rFonts w:ascii="Times New Roman" w:eastAsia="Times New Roman" w:hAnsi="Times New Roman" w:cs="Times New Roman"/>
          <w:sz w:val="28"/>
          <w:szCs w:val="28"/>
          <w:lang w:eastAsia="ru-RU"/>
        </w:rPr>
        <w:t>8-Г</w:t>
      </w:r>
      <w:r w:rsidR="000929CE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9-Г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941B2" w:rsidRPr="00C902B5" w:rsidRDefault="00C902B5" w:rsidP="00C90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2B5">
        <w:rPr>
          <w:rFonts w:ascii="Times New Roman" w:eastAsia="Calibri" w:hAnsi="Times New Roman" w:cs="Times New Roman"/>
          <w:sz w:val="28"/>
          <w:szCs w:val="28"/>
        </w:rPr>
        <w:t>Освітню програму</w:t>
      </w:r>
      <w:r w:rsidR="002D2E6D" w:rsidRPr="002D2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E6D">
        <w:rPr>
          <w:rFonts w:ascii="Times New Roman" w:eastAsia="Calibri" w:hAnsi="Times New Roman" w:cs="Times New Roman"/>
          <w:sz w:val="28"/>
          <w:szCs w:val="28"/>
        </w:rPr>
        <w:t>І</w:t>
      </w:r>
      <w:r w:rsidR="002D2E6D" w:rsidRPr="00C902B5">
        <w:rPr>
          <w:rFonts w:ascii="Times New Roman" w:eastAsia="Calibri" w:hAnsi="Times New Roman" w:cs="Times New Roman"/>
          <w:sz w:val="28"/>
          <w:szCs w:val="28"/>
        </w:rPr>
        <w:t>І ступеня</w:t>
      </w:r>
      <w:r w:rsidR="009A298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B021A">
        <w:rPr>
          <w:rFonts w:ascii="Times New Roman" w:eastAsia="Calibri" w:hAnsi="Times New Roman" w:cs="Times New Roman"/>
          <w:sz w:val="28"/>
          <w:szCs w:val="28"/>
        </w:rPr>
        <w:t>8</w:t>
      </w:r>
      <w:r w:rsidR="006056CD">
        <w:rPr>
          <w:rFonts w:ascii="Times New Roman" w:eastAsia="Calibri" w:hAnsi="Times New Roman" w:cs="Times New Roman"/>
          <w:sz w:val="28"/>
          <w:szCs w:val="28"/>
        </w:rPr>
        <w:t>-9 к</w:t>
      </w:r>
      <w:r w:rsidR="002D2E6D">
        <w:rPr>
          <w:rFonts w:ascii="Times New Roman" w:eastAsia="Calibri" w:hAnsi="Times New Roman" w:cs="Times New Roman"/>
          <w:sz w:val="28"/>
          <w:szCs w:val="28"/>
        </w:rPr>
        <w:t>ласи)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укладено за сьо</w:t>
      </w:r>
      <w:r>
        <w:rPr>
          <w:rFonts w:ascii="Times New Roman" w:eastAsia="Calibri" w:hAnsi="Times New Roman" w:cs="Times New Roman"/>
          <w:sz w:val="28"/>
          <w:szCs w:val="28"/>
        </w:rPr>
        <w:t>ма основними освітніми галузями: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 xml:space="preserve">Мови і літератури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Суспільствознавство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Мистецтво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Математика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Природознавство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Технології</w:t>
      </w:r>
    </w:p>
    <w:p w:rsidR="00502659" w:rsidRPr="00502659" w:rsidRDefault="00E941B2" w:rsidP="005026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Здоров’я і фізична культура</w:t>
      </w:r>
    </w:p>
    <w:p w:rsidR="002C3003" w:rsidRPr="00DC1B36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зв'язку з відсутністю годин   варіативної   складової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659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08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у 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класах буде забезпечене шляхом засвоєння   учнями      змісту навчального </w:t>
      </w:r>
      <w:r w:rsidR="00D32B5D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</w:t>
      </w:r>
      <w:r w:rsidR="00053A0B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ході 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 інваріантної складової («Історія рідного краю» -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535BC3" w:rsidRPr="00DC1B36">
        <w:rPr>
          <w:rFonts w:ascii="Times New Roman" w:eastAsia="Calibri" w:hAnsi="Times New Roman" w:cs="Times New Roman"/>
          <w:sz w:val="28"/>
          <w:szCs w:val="28"/>
        </w:rPr>
        <w:t>предмет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України»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класах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«Екологія рідного краю» - 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предмети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«Географія»  та «Біологія»  в </w:t>
      </w:r>
      <w:r w:rsidR="001B02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класах ) під час вивчення на уроках місцевого матеріалу.</w:t>
      </w:r>
    </w:p>
    <w:p w:rsidR="00216DF9" w:rsidRDefault="00216DF9" w:rsidP="00B02B59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216DF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Програмне забезпечення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складов</w:t>
      </w:r>
      <w:r w:rsidR="001B02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/>
          <w:bCs/>
          <w:sz w:val="28"/>
          <w:szCs w:val="24"/>
          <w:lang w:eastAsia="ru-RU"/>
        </w:rPr>
        <w:t>навчального плану</w:t>
      </w:r>
      <w:r w:rsidR="009539F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зазначено у </w:t>
      </w:r>
      <w:r w:rsidR="008C7A0E">
        <w:rPr>
          <w:rFonts w:ascii="Times New Roman" w:eastAsia="Times New Roman" w:hAnsi="Times New Roman"/>
          <w:bCs/>
          <w:sz w:val="28"/>
          <w:szCs w:val="24"/>
          <w:lang w:eastAsia="ru-RU"/>
        </w:rPr>
        <w:t>додатках</w:t>
      </w:r>
      <w:r w:rsidR="009539FE" w:rsidRP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8C7A0E">
        <w:rPr>
          <w:rFonts w:ascii="Times New Roman" w:eastAsia="Times New Roman" w:hAnsi="Times New Roman"/>
          <w:bCs/>
          <w:sz w:val="28"/>
          <w:szCs w:val="24"/>
          <w:lang w:eastAsia="ru-RU"/>
        </w:rPr>
        <w:t>,3</w:t>
      </w:r>
      <w:r w:rsid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Гранична наповнюваність класів та тривалість уроків встановлюютьс</w:t>
      </w:r>
      <w:r w:rsidR="00912C14">
        <w:rPr>
          <w:rFonts w:ascii="Times New Roman" w:eastAsia="Calibri" w:hAnsi="Times New Roman" w:cs="Times New Roman"/>
          <w:sz w:val="28"/>
          <w:szCs w:val="28"/>
        </w:rPr>
        <w:t>я відповідно до Закону України «Про загальну середню освіту»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1C6E36" w:rsidRDefault="00B01F35" w:rsidP="00B0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35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 гімназія організовує здобуття освіти за </w:t>
      </w:r>
      <w:proofErr w:type="spellStart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B01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1F35">
        <w:rPr>
          <w:rFonts w:ascii="Times New Roman" w:eastAsia="Calibri" w:hAnsi="Times New Roman" w:cs="Times New Roman"/>
          <w:sz w:val="28"/>
          <w:szCs w:val="28"/>
        </w:rPr>
        <w:t>сімейною (домашньою) фо</w:t>
      </w:r>
      <w:r w:rsidR="001C6E36">
        <w:rPr>
          <w:rFonts w:ascii="Times New Roman" w:eastAsia="Calibri" w:hAnsi="Times New Roman" w:cs="Times New Roman"/>
          <w:sz w:val="28"/>
          <w:szCs w:val="28"/>
        </w:rPr>
        <w:t>рмою та педагогічним патронажем.</w:t>
      </w:r>
    </w:p>
    <w:p w:rsidR="001C6E36" w:rsidRPr="00B01F35" w:rsidRDefault="001C6E36" w:rsidP="00B0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414" w:rsidRPr="00413DA0" w:rsidRDefault="002C3003" w:rsidP="002E143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9E4C62">
        <w:rPr>
          <w:rFonts w:ascii="Times New Roman" w:hAnsi="Times New Roman"/>
          <w:b/>
          <w:i/>
          <w:sz w:val="28"/>
          <w:szCs w:val="28"/>
        </w:rPr>
        <w:t>Очікувані результати навчання здобувачів освіти</w:t>
      </w:r>
    </w:p>
    <w:p w:rsidR="00413DA0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</w:t>
      </w:r>
      <w:bookmarkStart w:id="1" w:name="_Toc486538639"/>
    </w:p>
    <w:p w:rsidR="00413DA0" w:rsidRDefault="00413DA0" w:rsidP="00413D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DA0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413DA0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41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003" w:rsidRPr="00561086" w:rsidRDefault="002C3003" w:rsidP="001B0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6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161"/>
      </w:tblGrid>
      <w:tr w:rsidR="002C3003" w:rsidRPr="00F7320C" w:rsidTr="009B050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практичних задач; використовувати математичні методи у життєвих ситуаціях.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дискримінацією.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243B1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, окремих предметів та предметних циклів; їх необхідно враховувати при формуванні шкільного середовища. </w:t>
      </w:r>
    </w:p>
    <w:p w:rsidR="00594EC7" w:rsidRPr="00F7320C" w:rsidRDefault="00594EC7" w:rsidP="0075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Навчання за наскрізними лініями реалізується насамперед через:</w:t>
      </w:r>
    </w:p>
    <w:p w:rsidR="00594EC7" w:rsidRPr="007525AE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594EC7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мі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жкласові</w:t>
      </w:r>
      <w:proofErr w:type="spellEnd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</w:t>
      </w:r>
      <w:proofErr w:type="spellStart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про</w:t>
      </w:r>
      <w:r w:rsidR="00053A0B">
        <w:rPr>
          <w:rFonts w:ascii="Times New Roman" w:eastAsia="Times New Roman" w:hAnsi="Times New Roman"/>
          <w:sz w:val="28"/>
          <w:szCs w:val="28"/>
          <w:highlight w:val="white"/>
        </w:rPr>
        <w:t>є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к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ти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594EC7" w:rsidRPr="008B3833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B3833"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роботу в </w:t>
      </w:r>
      <w:proofErr w:type="spellStart"/>
      <w:r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проє</w:t>
      </w:r>
      <w:r w:rsidR="00594EC7"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ктах</w:t>
      </w:r>
      <w:proofErr w:type="spellEnd"/>
      <w:r w:rsidR="00594EC7"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:</w:t>
      </w:r>
    </w:p>
    <w:p w:rsidR="00BD36E9" w:rsidRPr="00D70C2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70C29"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594EC7" w:rsidRPr="00D70C29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профорієнтаційної роботи в гімназії;</w:t>
      </w:r>
    </w:p>
    <w:p w:rsidR="00BD36E9" w:rsidRPr="00DF4444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F4444">
        <w:rPr>
          <w:rFonts w:ascii="Times New Roman" w:eastAsia="Times New Roman" w:hAnsi="Times New Roman"/>
          <w:sz w:val="28"/>
          <w:szCs w:val="28"/>
        </w:rPr>
        <w:t xml:space="preserve">2)  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 xml:space="preserve">«Обери життя», мета якого </w:t>
      </w:r>
      <w:r w:rsidR="00E336C5" w:rsidRPr="00DF4444">
        <w:rPr>
          <w:rFonts w:ascii="Times New Roman" w:eastAsia="Times New Roman" w:hAnsi="Times New Roman"/>
          <w:sz w:val="28"/>
          <w:szCs w:val="28"/>
        </w:rPr>
        <w:t>популяризація здорового способу життя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>;</w:t>
      </w:r>
    </w:p>
    <w:p w:rsidR="00BD36E9" w:rsidRPr="00DF4444" w:rsidRDefault="00E336C5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F4444">
        <w:rPr>
          <w:rFonts w:ascii="Times New Roman" w:eastAsia="Times New Roman" w:hAnsi="Times New Roman"/>
          <w:sz w:val="28"/>
          <w:szCs w:val="28"/>
        </w:rPr>
        <w:t>3</w:t>
      </w:r>
      <w:r w:rsidR="00BD36E9" w:rsidRPr="00DF4444">
        <w:rPr>
          <w:rFonts w:ascii="Times New Roman" w:eastAsia="Times New Roman" w:hAnsi="Times New Roman"/>
          <w:sz w:val="28"/>
          <w:szCs w:val="28"/>
        </w:rPr>
        <w:t xml:space="preserve">) </w:t>
      </w:r>
      <w:r w:rsidR="00D70C29" w:rsidRPr="00DF4444">
        <w:rPr>
          <w:rFonts w:ascii="Times New Roman" w:eastAsia="Times New Roman" w:hAnsi="Times New Roman"/>
          <w:sz w:val="28"/>
          <w:szCs w:val="28"/>
        </w:rPr>
        <w:t xml:space="preserve">науковий тиждень 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>«</w:t>
      </w:r>
      <w:r w:rsidR="00D70C29" w:rsidRPr="00DF4444">
        <w:rPr>
          <w:rFonts w:ascii="Times New Roman" w:eastAsia="Times New Roman" w:hAnsi="Times New Roman"/>
          <w:sz w:val="28"/>
          <w:szCs w:val="28"/>
        </w:rPr>
        <w:t>Наука навколо нас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 xml:space="preserve">», мета якого застосування науково-технічних знань </w:t>
      </w:r>
      <w:r w:rsidR="009F58F2" w:rsidRPr="00DF4444">
        <w:rPr>
          <w:rFonts w:ascii="Times New Roman" w:eastAsia="Times New Roman" w:hAnsi="Times New Roman"/>
          <w:sz w:val="28"/>
          <w:szCs w:val="28"/>
        </w:rPr>
        <w:t>на практиці</w:t>
      </w:r>
      <w:r w:rsidR="00BD36E9" w:rsidRPr="00DF4444">
        <w:rPr>
          <w:rFonts w:ascii="Times New Roman" w:eastAsia="Times New Roman" w:hAnsi="Times New Roman"/>
          <w:sz w:val="28"/>
          <w:szCs w:val="28"/>
        </w:rPr>
        <w:t>;</w:t>
      </w:r>
    </w:p>
    <w:p w:rsidR="00BD36E9" w:rsidRPr="00BD36E9" w:rsidRDefault="007525AE" w:rsidP="00BD36E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роботу:</w:t>
      </w:r>
    </w:p>
    <w:p w:rsidR="00BD36E9" w:rsidRPr="00114410" w:rsidRDefault="00BD36E9" w:rsidP="00BD3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114410" w:rsidRPr="00114410"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участь в роботі МАН в секціях «Англійська мова», «Німецька мова», «Українська література», «Історія», «Педагогіка», «Фізика»;</w:t>
      </w:r>
    </w:p>
    <w:p w:rsidR="00594EC7" w:rsidRPr="00607447" w:rsidRDefault="00BD36E9" w:rsidP="00BD36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ED186B" w:rsidRPr="00ED186B">
        <w:rPr>
          <w:rFonts w:ascii="Times New Roman" w:eastAsia="Times New Roman" w:hAnsi="Times New Roman" w:cs="Times New Roman"/>
          <w:sz w:val="28"/>
          <w:szCs w:val="28"/>
        </w:rPr>
        <w:t xml:space="preserve">розвиток молодіжного руху 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>«Моделі ООН», мета як</w:t>
      </w:r>
      <w:r w:rsidR="00ED186B">
        <w:rPr>
          <w:rFonts w:ascii="Times New Roman" w:eastAsia="Times New Roman" w:hAnsi="Times New Roman"/>
          <w:sz w:val="28"/>
          <w:szCs w:val="28"/>
        </w:rPr>
        <w:t>ого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 xml:space="preserve">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="00594EC7" w:rsidRPr="006074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594EC7" w:rsidRPr="00C72080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C72080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C72080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594EC7" w:rsidRPr="001C6E36" w:rsidRDefault="00F25D5F" w:rsidP="001C6E36">
      <w:pPr>
        <w:tabs>
          <w:tab w:val="left" w:pos="70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5D5F">
        <w:rPr>
          <w:rFonts w:ascii="Times New Roman" w:eastAsia="Times New Roman" w:hAnsi="Times New Roman"/>
          <w:sz w:val="28"/>
          <w:szCs w:val="28"/>
          <w:highlight w:val="white"/>
        </w:rPr>
        <w:t>1)</w:t>
      </w:r>
      <w:r w:rsidRPr="00F25D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співпраці з ЗПО «Центр науково технічної творчості молоді «Політ» Запорізької міської ради», в гімназії реалізується програма «Інтегрований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Мета програми полягає у формуванні і розвитку науково-пізнавальних та творчих здібностей підлітків, здатності і готовності до розв’язання комплексних проблем, критичного мислення, когнітивної гнучкості, співпраці, здійснення інноваційної діяльності, ранньої профорієнтації та розвитку уявлень про роль і значення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-освіти,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-професій  та перспективи їх використання в Україні. В основу програми покладено ідею використання в навчанні власної активності та ініціативи здобувачів освіти на основі 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підходів.     </w:t>
      </w:r>
    </w:p>
    <w:p w:rsidR="001216FC" w:rsidRDefault="003605A5" w:rsidP="001216F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</w:t>
      </w:r>
      <w:r w:rsidR="009E022D">
        <w:rPr>
          <w:rFonts w:ascii="Times New Roman" w:eastAsia="Times New Roman" w:hAnsi="Times New Roman"/>
          <w:sz w:val="28"/>
          <w:szCs w:val="28"/>
          <w:highlight w:val="white"/>
        </w:rPr>
        <w:t>) «</w:t>
      </w:r>
      <w:r w:rsidR="00427F18">
        <w:rPr>
          <w:rFonts w:ascii="Times New Roman" w:eastAsia="Times New Roman" w:hAnsi="Times New Roman"/>
          <w:sz w:val="28"/>
          <w:szCs w:val="28"/>
          <w:highlight w:val="white"/>
        </w:rPr>
        <w:t>Я – патріот</w:t>
      </w:r>
      <w:r w:rsidR="009E022D">
        <w:rPr>
          <w:rFonts w:ascii="Times New Roman" w:eastAsia="Times New Roman" w:hAnsi="Times New Roman"/>
          <w:sz w:val="28"/>
          <w:szCs w:val="28"/>
          <w:highlight w:val="white"/>
        </w:rPr>
        <w:t>»</w:t>
      </w:r>
      <w:r w:rsidR="00C72080">
        <w:rPr>
          <w:rFonts w:ascii="Times New Roman" w:eastAsia="Times New Roman" w:hAnsi="Times New Roman"/>
          <w:sz w:val="28"/>
          <w:szCs w:val="28"/>
          <w:highlight w:val="white"/>
        </w:rPr>
        <w:t xml:space="preserve">, мета якого сформувати пріоритетні цінності </w:t>
      </w:r>
      <w:r w:rsidR="001216FC">
        <w:rPr>
          <w:rFonts w:ascii="Times New Roman" w:eastAsia="Times New Roman" w:hAnsi="Times New Roman"/>
          <w:sz w:val="28"/>
          <w:szCs w:val="28"/>
          <w:highlight w:val="white"/>
        </w:rPr>
        <w:t>особистості громадянина України.</w:t>
      </w:r>
    </w:p>
    <w:p w:rsidR="00427F18" w:rsidRDefault="00427F18" w:rsidP="00F25D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3) </w:t>
      </w:r>
      <w:r w:rsidR="001216FC" w:rsidRPr="001216FC">
        <w:rPr>
          <w:rFonts w:ascii="Times New Roman" w:eastAsia="Calibri" w:hAnsi="Times New Roman" w:cs="Times New Roman"/>
          <w:sz w:val="28"/>
          <w:szCs w:val="28"/>
        </w:rPr>
        <w:t xml:space="preserve">«Лідерство», мета якого розвиток лідерського потенціалу учнів шляхом формування у них лідерських якостей, ключових </w:t>
      </w:r>
      <w:proofErr w:type="spellStart"/>
      <w:r w:rsidR="001216FC" w:rsidRPr="001216FC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="001216FC" w:rsidRPr="001216FC">
        <w:rPr>
          <w:rFonts w:ascii="Times New Roman" w:eastAsia="Calibri" w:hAnsi="Times New Roman" w:cs="Times New Roman"/>
          <w:sz w:val="28"/>
          <w:szCs w:val="28"/>
        </w:rPr>
        <w:t>, сприяння отримання ними досвіду лідерської поведінки</w:t>
      </w:r>
      <w:r w:rsidR="001216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3003" w:rsidRDefault="001216FC" w:rsidP="00F25D5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F25D5F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="00607447" w:rsidRPr="00E302B5">
        <w:rPr>
          <w:rFonts w:ascii="Times New Roman" w:eastAsia="Times New Roman" w:hAnsi="Times New Roman"/>
          <w:sz w:val="28"/>
          <w:szCs w:val="28"/>
        </w:rPr>
        <w:t xml:space="preserve">ально-спортивний клуб «Лінія» (хореографія), мета якого формування </w:t>
      </w:r>
      <w:proofErr w:type="spellStart"/>
      <w:r w:rsidR="00607447" w:rsidRPr="00E302B5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="00607447" w:rsidRPr="00E302B5">
        <w:rPr>
          <w:rFonts w:ascii="Times New Roman" w:eastAsia="Times New Roman" w:hAnsi="Times New Roman"/>
          <w:sz w:val="28"/>
          <w:szCs w:val="28"/>
        </w:rPr>
        <w:t xml:space="preserve"> особистості засо</w:t>
      </w:r>
      <w:r w:rsidR="00F971C1" w:rsidRPr="00E302B5">
        <w:rPr>
          <w:rFonts w:ascii="Times New Roman" w:eastAsia="Times New Roman" w:hAnsi="Times New Roman"/>
          <w:sz w:val="28"/>
          <w:szCs w:val="28"/>
        </w:rPr>
        <w:t>бами спортивного бального танцю.</w:t>
      </w:r>
      <w:r w:rsidR="00594EC7" w:rsidRPr="00E302B5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DF4444" w:rsidRDefault="00DF4444" w:rsidP="00DF444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055160" w:rsidRPr="00E302B5" w:rsidRDefault="00055160" w:rsidP="00DF444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1"/>
    <w:p w:rsidR="002C3003" w:rsidRPr="00815734" w:rsidRDefault="002C3003" w:rsidP="00F971C1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15734">
        <w:rPr>
          <w:rFonts w:ascii="Times New Roman" w:hAnsi="Times New Roman"/>
          <w:b/>
          <w:i/>
          <w:sz w:val="28"/>
          <w:szCs w:val="28"/>
        </w:rPr>
        <w:lastRenderedPageBreak/>
        <w:t>Вимоги до осіб, які можуть розпочинати зд</w:t>
      </w:r>
      <w:r w:rsidR="002D2E6D">
        <w:rPr>
          <w:rFonts w:ascii="Times New Roman" w:hAnsi="Times New Roman"/>
          <w:b/>
          <w:i/>
          <w:sz w:val="28"/>
          <w:szCs w:val="28"/>
        </w:rPr>
        <w:t>обуття базової середньої освіти</w:t>
      </w:r>
      <w:r w:rsidRPr="008157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C3003" w:rsidRPr="00266B57" w:rsidRDefault="002C3003" w:rsidP="002C30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73">
        <w:rPr>
          <w:rFonts w:ascii="Times New Roman" w:hAnsi="Times New Roman"/>
          <w:sz w:val="28"/>
          <w:szCs w:val="28"/>
        </w:rPr>
        <w:t xml:space="preserve">Базова середня освіта здобувається, як правило, після здобуття початкової освіти. Діти, які здобули початкову освіту на 1 вересня поточного навчального року повинні розпочинати здобуття базової середньої </w:t>
      </w:r>
      <w:r w:rsidR="004949A9">
        <w:rPr>
          <w:rFonts w:ascii="Times New Roman" w:hAnsi="Times New Roman"/>
          <w:sz w:val="28"/>
          <w:szCs w:val="28"/>
        </w:rPr>
        <w:t xml:space="preserve">освіти цього ж навчального року </w:t>
      </w:r>
      <w:r w:rsidR="004949A9">
        <w:rPr>
          <w:rFonts w:ascii="Times New Roman" w:eastAsia="Calibri" w:hAnsi="Times New Roman" w:cs="Times New Roman"/>
          <w:sz w:val="28"/>
          <w:szCs w:val="28"/>
        </w:rPr>
        <w:t xml:space="preserve">відповідно 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 xml:space="preserve">до наказу МОН України від </w:t>
      </w:r>
      <w:r w:rsidR="003605A5" w:rsidRPr="00266B57">
        <w:rPr>
          <w:rFonts w:ascii="Times New Roman" w:eastAsia="Calibri" w:hAnsi="Times New Roman" w:cs="Times New Roman"/>
          <w:sz w:val="28"/>
          <w:szCs w:val="28"/>
        </w:rPr>
        <w:t>20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>.0</w:t>
      </w:r>
      <w:r w:rsidR="003605A5" w:rsidRPr="00266B57">
        <w:rPr>
          <w:rFonts w:ascii="Times New Roman" w:eastAsia="Calibri" w:hAnsi="Times New Roman" w:cs="Times New Roman"/>
          <w:sz w:val="28"/>
          <w:szCs w:val="28"/>
        </w:rPr>
        <w:t>5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>.20</w:t>
      </w:r>
      <w:r w:rsidR="003605A5" w:rsidRPr="00266B57">
        <w:rPr>
          <w:rFonts w:ascii="Times New Roman" w:eastAsia="Calibri" w:hAnsi="Times New Roman" w:cs="Times New Roman"/>
          <w:sz w:val="28"/>
          <w:szCs w:val="28"/>
        </w:rPr>
        <w:t>24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605A5" w:rsidRPr="00266B57">
        <w:rPr>
          <w:rFonts w:ascii="Times New Roman" w:eastAsia="Calibri" w:hAnsi="Times New Roman" w:cs="Times New Roman"/>
          <w:sz w:val="28"/>
          <w:szCs w:val="28"/>
        </w:rPr>
        <w:t xml:space="preserve">714 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 xml:space="preserve">«Про затвердження </w:t>
      </w:r>
      <w:r w:rsidR="00266B57" w:rsidRPr="00266B57">
        <w:rPr>
          <w:rFonts w:ascii="Times New Roman" w:eastAsia="Calibri" w:hAnsi="Times New Roman" w:cs="Times New Roman"/>
          <w:sz w:val="28"/>
          <w:szCs w:val="28"/>
        </w:rPr>
        <w:t xml:space="preserve">Змін до 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85649A" w:rsidRPr="00266B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649A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зареєстрованого в Міністерстві юстиції України 0</w:t>
      </w:r>
      <w:r w:rsidR="00266B57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649A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66B57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5649A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266B57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85649A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</w:t>
      </w:r>
      <w:r w:rsidR="00266B57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819</w:t>
      </w:r>
      <w:r w:rsidR="0085649A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266B57" w:rsidRPr="0026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42164</w:t>
      </w:r>
      <w:r w:rsidR="004949A9" w:rsidRPr="00266B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3003" w:rsidRDefault="009363B4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D430AA" w:rsidRDefault="00D430AA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C03" w:rsidRPr="00551C03" w:rsidRDefault="00551C03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1C03">
        <w:rPr>
          <w:rFonts w:ascii="Times New Roman" w:eastAsia="Calibri" w:hAnsi="Times New Roman" w:cs="Times New Roman"/>
          <w:b/>
          <w:i/>
          <w:sz w:val="28"/>
          <w:szCs w:val="28"/>
        </w:rPr>
        <w:t>Рекомендовані форми організації освітнього процесу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C3003" w:rsidRPr="00F7320C" w:rsidRDefault="002C3003" w:rsidP="000B3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8622D6" w:rsidP="008622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</w:t>
      </w:r>
      <w:r w:rsidR="00D243B1">
        <w:rPr>
          <w:rFonts w:ascii="Times New Roman" w:eastAsia="Calibri" w:hAnsi="Times New Roman" w:cs="Times New Roman"/>
          <w:sz w:val="28"/>
          <w:szCs w:val="28"/>
        </w:rPr>
        <w:t xml:space="preserve"> навчально-практичні заняття,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уроки-«суди</w:t>
      </w:r>
      <w:proofErr w:type="spellEnd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 тощо. </w:t>
      </w:r>
    </w:p>
    <w:p w:rsidR="000A177D" w:rsidRPr="000A177D" w:rsidRDefault="000A177D" w:rsidP="000A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освітнього процесу у гімназії має свої особливості:       </w:t>
      </w: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навчальний  рік  поділяється на два семестри (по 17-18 тижнів в кожному), кожний з яких поділяється на 3 триместри (з канікулами між кожним триместром  в один тиждень);</w:t>
      </w:r>
    </w:p>
    <w:p w:rsidR="000A177D" w:rsidRPr="000A177D" w:rsidRDefault="000A177D" w:rsidP="000A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блочне викладання предметів (протягом кожного поточного семестру викладаються не всі предмети, а тільки їх частина);</w:t>
      </w:r>
    </w:p>
    <w:p w:rsidR="000A177D" w:rsidRDefault="000A177D" w:rsidP="000A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система спарених уроків.</w:t>
      </w:r>
    </w:p>
    <w:p w:rsidR="00076C50" w:rsidRDefault="002C3003" w:rsidP="000A1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7A3455" w:rsidRDefault="00055160" w:rsidP="007A3455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055160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Освітній процес </w:t>
      </w:r>
      <w:r w:rsidRPr="00055160">
        <w:rPr>
          <w:rFonts w:ascii="Times New Roman" w:eastAsia="Calibri" w:hAnsi="Times New Roman"/>
          <w:sz w:val="28"/>
          <w:szCs w:val="28"/>
          <w:lang w:val="uk-UA"/>
        </w:rPr>
        <w:t>буде організовано</w:t>
      </w:r>
      <w:r w:rsidRPr="00055160">
        <w:rPr>
          <w:rFonts w:ascii="Times New Roman" w:eastAsia="Calibri" w:hAnsi="Times New Roman"/>
          <w:sz w:val="28"/>
          <w:szCs w:val="28"/>
          <w:lang w:val="uk-UA" w:eastAsia="ru-RU"/>
        </w:rPr>
        <w:t xml:space="preserve"> із застосуванням технологій дистанційного навчання до моменту введення в експлуатацію протирадіаційного укриття  Запорізької гімназії № 107</w:t>
      </w:r>
      <w:r w:rsidRPr="00055160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. </w:t>
      </w:r>
      <w:r w:rsidR="007751CB" w:rsidRPr="00055160">
        <w:rPr>
          <w:rFonts w:ascii="Times New Roman" w:hAnsi="Times New Roman"/>
          <w:color w:val="000000"/>
          <w:sz w:val="28"/>
          <w:szCs w:val="28"/>
          <w:lang w:val="uk-UA"/>
        </w:rPr>
        <w:t>В Запорізькій гімназії № 107 розгорнута платформа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> </w:t>
      </w:r>
      <w:r w:rsidR="007751CB" w:rsidRPr="007751CB">
        <w:rPr>
          <w:rFonts w:ascii="Times New Roman" w:hAnsi="Times New Roman"/>
          <w:color w:val="0000FF"/>
          <w:sz w:val="28"/>
          <w:szCs w:val="28"/>
        </w:rPr>
        <w:t>G</w:t>
      </w:r>
      <w:r w:rsidR="007751CB" w:rsidRPr="00055160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Suite</w:t>
      </w:r>
      <w:proofErr w:type="spellEnd"/>
      <w:r w:rsidR="007751CB" w:rsidRPr="00055160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for</w:t>
      </w:r>
      <w:proofErr w:type="spellEnd"/>
      <w:r w:rsidR="007751CB" w:rsidRPr="00055160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Education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> </w:t>
      </w:r>
      <w:r w:rsidR="007751CB" w:rsidRPr="00055160">
        <w:rPr>
          <w:rFonts w:ascii="Times New Roman" w:hAnsi="Times New Roman"/>
          <w:color w:val="000000"/>
          <w:sz w:val="28"/>
          <w:szCs w:val="28"/>
          <w:lang w:val="uk-UA"/>
        </w:rPr>
        <w:t>компанії «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Google</w:t>
      </w:r>
      <w:proofErr w:type="spellEnd"/>
      <w:r w:rsidR="007751CB" w:rsidRPr="00055160">
        <w:rPr>
          <w:rFonts w:ascii="Times New Roman" w:hAnsi="Times New Roman"/>
          <w:color w:val="000000"/>
          <w:sz w:val="28"/>
          <w:szCs w:val="28"/>
          <w:lang w:val="uk-UA"/>
        </w:rPr>
        <w:t>» на власному домені.</w:t>
      </w:r>
      <w:r w:rsidR="008622D6" w:rsidRPr="0005516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751CB" w:rsidRPr="007751CB">
        <w:rPr>
          <w:rFonts w:ascii="Times New Roman" w:hAnsi="Times New Roman"/>
          <w:color w:val="0000FF"/>
          <w:sz w:val="28"/>
          <w:szCs w:val="28"/>
        </w:rPr>
        <w:t>G</w:t>
      </w:r>
      <w:r w:rsidR="007751CB" w:rsidRPr="00431D2B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Suite</w:t>
      </w:r>
      <w:proofErr w:type="spellEnd"/>
      <w:r w:rsidR="007751CB" w:rsidRPr="00431D2B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For</w:t>
      </w:r>
      <w:proofErr w:type="spellEnd"/>
      <w:r w:rsidR="007751CB" w:rsidRPr="00431D2B"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Edu</w:t>
      </w:r>
      <w:proofErr w:type="spellEnd"/>
      <w:proofErr w:type="gramStart"/>
      <w:r w:rsidR="007751CB" w:rsidRPr="00431D2B">
        <w:rPr>
          <w:rFonts w:ascii="Times New Roman" w:hAnsi="Times New Roman"/>
          <w:color w:val="0000FF"/>
          <w:sz w:val="28"/>
          <w:szCs w:val="28"/>
          <w:lang w:val="uk-UA"/>
        </w:rPr>
        <w:t>с</w:t>
      </w:r>
      <w:proofErr w:type="spellStart"/>
      <w:proofErr w:type="gramEnd"/>
      <w:r w:rsidR="007751CB" w:rsidRPr="007751CB">
        <w:rPr>
          <w:rFonts w:ascii="Times New Roman" w:hAnsi="Times New Roman"/>
          <w:color w:val="0000FF"/>
          <w:sz w:val="28"/>
          <w:szCs w:val="28"/>
        </w:rPr>
        <w:t>ation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> </w:t>
      </w:r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>– це пакет спеціалізованого хмарного програмного забезпечення, інструментів для спільної роботи та дистанційного навчання.</w:t>
      </w:r>
      <w:r w:rsidR="008622D6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Вчителі та учні гімназії мають свої особисті </w:t>
      </w:r>
      <w:proofErr w:type="spellStart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>акаунти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платформі 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>G</w:t>
      </w:r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Suite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Education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Google</w:t>
      </w:r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>-акаунтів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пакету 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>G</w:t>
      </w:r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Suite</w:t>
      </w:r>
      <w:proofErr w:type="spellEnd"/>
      <w:r w:rsidR="007751CB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</w:t>
      </w:r>
      <w:r w:rsidR="008622D6" w:rsidRPr="00431D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Кожний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здобувач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своєму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одному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акаунті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навчальні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класи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усіх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предметів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. Батьки учнів можуть контролювати навчальні досягнення дитини з усіх навчальних предметів. 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А </w:t>
      </w:r>
      <w:proofErr w:type="gramStart"/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адм</w:t>
      </w:r>
      <w:proofErr w:type="gramEnd"/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іністрація 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lastRenderedPageBreak/>
        <w:t>здійснювати контроль за виконанням  освітніх  програм  шляхом  проведення комплексного аналізу стану організації освітнього процесу з використанням технологій дистанційного навчання, зокрема аналізу якості проведення синхронних навчальних занять, рівня підготовки матеріалів для асинхронних уроків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,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моніторинг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ових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досліджен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ь рівня знань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та надолуження освітніх втрат </w:t>
      </w:r>
      <w:r w:rsidR="00940C90">
        <w:rPr>
          <w:rFonts w:ascii="Times New Roman" w:eastAsia="Calibri" w:hAnsi="Times New Roman"/>
          <w:color w:val="000000"/>
          <w:sz w:val="28"/>
          <w:szCs w:val="28"/>
          <w:lang w:val="uk-UA"/>
        </w:rPr>
        <w:t>здобувачів освіти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 </w:t>
      </w:r>
    </w:p>
    <w:p w:rsidR="001B021A" w:rsidRPr="001B021A" w:rsidRDefault="001B021A" w:rsidP="001B021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На виконання </w:t>
      </w:r>
      <w:r w:rsidRPr="00F90D16">
        <w:rPr>
          <w:rFonts w:ascii="Times New Roman" w:hAnsi="Times New Roman" w:cs="Times New Roman"/>
          <w:sz w:val="28"/>
          <w:szCs w:val="28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гімназії запроваджено </w:t>
      </w:r>
      <w:r w:rsidRPr="00F90D16">
        <w:rPr>
          <w:rFonts w:ascii="Times New Roman" w:hAnsi="Times New Roman" w:cs="Times New Roman"/>
          <w:sz w:val="28"/>
          <w:szCs w:val="28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F90D16">
        <w:rPr>
          <w:sz w:val="28"/>
          <w:szCs w:val="28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</w:rPr>
        <w:t xml:space="preserve">з неухильним дотриманням </w:t>
      </w:r>
      <w:proofErr w:type="spellStart"/>
      <w:r w:rsidRPr="00F90D16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F90D16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40572C" w:rsidRDefault="0003758E" w:rsidP="001C6E3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Статуту Запорізької гімназії № 107 Запорізької міської ради Запорізької області (нова редакція), затвердженого наказом департаменту освіти і науки Запорізької міської ради від 28.11.2016 № 752-р., а саме пункту ІV підпункту 4.9 у гімназії запроваджені спарені уроки з 5-го по 11-ті класи з усіх предметів. 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спарених уроках тривалість роботи з екраном на 1-му уроці в синхронному режимі складатиме 30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, на 2-му уроці – 20 хв. 15 хв першого уроку та 25 хв другого уроку учні працюють в асинхронному режимі. Під час роботи в асинхронному режимі всі учні повинні вийти з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Pr="0003758E">
        <w:rPr>
          <w:rFonts w:ascii="Times New Roman" w:eastAsia="Calibri" w:hAnsi="Times New Roman"/>
          <w:bCs/>
          <w:kern w:val="24"/>
          <w:sz w:val="28"/>
          <w:szCs w:val="28"/>
          <w:lang w:val="uk-UA"/>
        </w:rPr>
        <w:t xml:space="preserve">В електронному журналі в змісті уроку робимо запис Дистанційно. Синхронно/Асинхронно. </w:t>
      </w:r>
      <w:r w:rsidRPr="0003758E">
        <w:rPr>
          <w:rFonts w:ascii="Times New Roman" w:hAnsi="Times New Roman"/>
          <w:sz w:val="28"/>
          <w:szCs w:val="28"/>
          <w:lang w:val="uk-UA" w:eastAsia="ru-RU"/>
        </w:rPr>
        <w:t>Перевірку домашніх та класних робіт  здійснювати  відповідно до порядку перевірки письмових робіт предметів інваріантної складової.</w:t>
      </w:r>
      <w:r w:rsidRPr="0003758E">
        <w:rPr>
          <w:sz w:val="28"/>
          <w:szCs w:val="28"/>
          <w:lang w:val="uk-UA"/>
        </w:rPr>
        <w:t xml:space="preserve"> </w:t>
      </w:r>
      <w:r w:rsidRPr="0003758E">
        <w:rPr>
          <w:rFonts w:ascii="Times New Roman" w:hAnsi="Times New Roman"/>
          <w:sz w:val="28"/>
          <w:szCs w:val="28"/>
          <w:lang w:val="uk-UA"/>
        </w:rPr>
        <w:t>При відсутності здобувача освіти з поважної причини протягом усієї теми в колонці за ведення зошита зазначати н/о (нема оцінки).</w:t>
      </w:r>
    </w:p>
    <w:p w:rsidR="004D64CE" w:rsidRPr="001C6E36" w:rsidRDefault="004D64CE" w:rsidP="001C6E3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343" w:rsidRDefault="00864FF0" w:rsidP="00423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4FF0">
        <w:rPr>
          <w:rFonts w:ascii="Times New Roman" w:eastAsia="Calibri" w:hAnsi="Times New Roman" w:cs="Times New Roman"/>
          <w:b/>
          <w:i/>
          <w:sz w:val="28"/>
          <w:szCs w:val="28"/>
        </w:rPr>
        <w:t>Контроль і оцінювання навчальних досягнень здобувачів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освіти</w:t>
      </w:r>
      <w:r w:rsidRPr="00864F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43F3B" w:rsidRDefault="00840DCB" w:rsidP="00780870">
      <w:pPr>
        <w:spacing w:after="0" w:line="240" w:lineRule="auto"/>
        <w:ind w:firstLine="708"/>
        <w:jc w:val="both"/>
        <w:rPr>
          <w:rStyle w:val="ad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оцінювання навчальних досягнень учнів</w:t>
      </w:r>
      <w:r w:rsidR="004D64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64CE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-9</w:t>
      </w:r>
      <w:r w:rsidR="00043F3B">
        <w:rPr>
          <w:rFonts w:ascii="Times New Roman" w:eastAsia="Times New Roman" w:hAnsi="Times New Roman" w:cs="Times New Roman"/>
          <w:bCs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класів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</w:t>
      </w:r>
      <w:r w:rsidR="00B37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оцінювання навчальних досягнень здобувачів освіти</w:t>
      </w:r>
      <w:r w:rsidR="005915DD" w:rsidRP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15DD"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оприлюднені на сайті гімназії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розділі Наша гімназія. Н</w:t>
      </w:r>
      <w:r w:rsidR="00725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ормативні документи </w:t>
      </w:r>
      <w:hyperlink r:id="rId10" w:history="1">
        <w:r w:rsidR="0072596F" w:rsidRPr="00170102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http://planeta107.zp.ua/index.php/2010-06-16-15-34-17/2016-06-02-18-16-38?start=8</w:t>
        </w:r>
      </w:hyperlink>
    </w:p>
    <w:p w:rsidR="00C72080" w:rsidRDefault="00C72080" w:rsidP="00780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3D6A" w:rsidRPr="00780870" w:rsidRDefault="00D43D6A" w:rsidP="00780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5E6" w:rsidRPr="00B555E6" w:rsidRDefault="00B555E6" w:rsidP="002E1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Опис та інструменти системи внутрішн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>ього забезпечення якості освіти</w:t>
      </w:r>
    </w:p>
    <w:p w:rsidR="00B555E6" w:rsidRPr="00B555E6" w:rsidRDefault="00B555E6" w:rsidP="00B55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B555E6" w:rsidRPr="00B555E6" w:rsidRDefault="00B555E6" w:rsidP="00B555E6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555E6">
        <w:rPr>
          <w:rFonts w:ascii="Times New Roman" w:eastAsia="Calibri" w:hAnsi="Times New Roman" w:cs="Times New Roman"/>
          <w:sz w:val="28"/>
          <w:szCs w:val="28"/>
        </w:rPr>
        <w:t>кадрове забезпечення освітньої діяльності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навчально-методичне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матеріально-технічне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якість проведення навчальних занять;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досягнення учнями результатів навчання (</w:t>
      </w:r>
      <w:proofErr w:type="spellStart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).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B555E6">
        <w:rPr>
          <w:rFonts w:ascii="TimesNewRomanPS-BoldMT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оновлення методичної бази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B555E6" w:rsidRPr="00043F3B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C21B5A" w:rsidRPr="004F097B" w:rsidRDefault="00C21B5A" w:rsidP="004F0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eastAsia="Calibri" w:hAnsi="Times New Roman" w:cs="Times New Roman"/>
          <w:sz w:val="28"/>
          <w:szCs w:val="28"/>
        </w:rPr>
        <w:t>ІІ ступеня</w:t>
      </w:r>
      <w:r w:rsidR="002D2E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64CE">
        <w:rPr>
          <w:rFonts w:ascii="Times New Roman" w:eastAsia="Calibri" w:hAnsi="Times New Roman" w:cs="Times New Roman"/>
          <w:sz w:val="28"/>
          <w:szCs w:val="28"/>
        </w:rPr>
        <w:t>8</w:t>
      </w:r>
      <w:r w:rsidR="002D2E6D">
        <w:rPr>
          <w:rFonts w:ascii="Times New Roman" w:eastAsia="Calibri" w:hAnsi="Times New Roman" w:cs="Times New Roman"/>
          <w:sz w:val="28"/>
          <w:szCs w:val="28"/>
        </w:rPr>
        <w:t>-9 класи)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 має на меті досягнення учнями очікуваних результатів навчання, визначених Державним стандартом </w:t>
      </w:r>
      <w:r w:rsidRPr="00F7320C">
        <w:rPr>
          <w:rFonts w:ascii="Times New Roman" w:eastAsia="Calibri" w:hAnsi="Times New Roman" w:cs="Times New Roman"/>
          <w:sz w:val="28"/>
          <w:szCs w:val="28"/>
        </w:rPr>
        <w:t>базової та повної загальної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середньої 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освіти. </w:t>
      </w:r>
    </w:p>
    <w:sectPr w:rsidR="00C21B5A" w:rsidRPr="004F097B" w:rsidSect="00FA552A">
      <w:footerReference w:type="default" r:id="rId11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6E" w:rsidRDefault="0078626E" w:rsidP="00FA552A">
      <w:pPr>
        <w:spacing w:after="0" w:line="240" w:lineRule="auto"/>
      </w:pPr>
      <w:r>
        <w:separator/>
      </w:r>
    </w:p>
  </w:endnote>
  <w:endnote w:type="continuationSeparator" w:id="0">
    <w:p w:rsidR="0078626E" w:rsidRDefault="0078626E" w:rsidP="00FA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2A" w:rsidRDefault="00FA5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6E" w:rsidRDefault="0078626E" w:rsidP="00FA552A">
      <w:pPr>
        <w:spacing w:after="0" w:line="240" w:lineRule="auto"/>
      </w:pPr>
      <w:r>
        <w:separator/>
      </w:r>
    </w:p>
  </w:footnote>
  <w:footnote w:type="continuationSeparator" w:id="0">
    <w:p w:rsidR="0078626E" w:rsidRDefault="0078626E" w:rsidP="00FA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72CF"/>
    <w:multiLevelType w:val="hybridMultilevel"/>
    <w:tmpl w:val="6B4499E2"/>
    <w:lvl w:ilvl="0" w:tplc="CBBC82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7871D8D"/>
    <w:multiLevelType w:val="hybridMultilevel"/>
    <w:tmpl w:val="DA6034AC"/>
    <w:lvl w:ilvl="0" w:tplc="FB28BBDA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41B"/>
    <w:rsid w:val="00003497"/>
    <w:rsid w:val="00014993"/>
    <w:rsid w:val="0002058C"/>
    <w:rsid w:val="000213BF"/>
    <w:rsid w:val="00023200"/>
    <w:rsid w:val="00031899"/>
    <w:rsid w:val="0003758E"/>
    <w:rsid w:val="00043F3B"/>
    <w:rsid w:val="00053A0B"/>
    <w:rsid w:val="00055160"/>
    <w:rsid w:val="00055376"/>
    <w:rsid w:val="000653A2"/>
    <w:rsid w:val="00074D2E"/>
    <w:rsid w:val="00076C50"/>
    <w:rsid w:val="000929CE"/>
    <w:rsid w:val="000A177D"/>
    <w:rsid w:val="000A7F80"/>
    <w:rsid w:val="000B3CEB"/>
    <w:rsid w:val="000C13C6"/>
    <w:rsid w:val="000E1274"/>
    <w:rsid w:val="000F5F27"/>
    <w:rsid w:val="001032F4"/>
    <w:rsid w:val="00114410"/>
    <w:rsid w:val="001216FC"/>
    <w:rsid w:val="001302DC"/>
    <w:rsid w:val="001653A1"/>
    <w:rsid w:val="00170BF9"/>
    <w:rsid w:val="0018652C"/>
    <w:rsid w:val="00197388"/>
    <w:rsid w:val="001B021A"/>
    <w:rsid w:val="001B3E6E"/>
    <w:rsid w:val="001C6E36"/>
    <w:rsid w:val="001F215E"/>
    <w:rsid w:val="001F2839"/>
    <w:rsid w:val="002039EE"/>
    <w:rsid w:val="002151CE"/>
    <w:rsid w:val="00216DF9"/>
    <w:rsid w:val="00220E55"/>
    <w:rsid w:val="0022447F"/>
    <w:rsid w:val="00224BC6"/>
    <w:rsid w:val="00233866"/>
    <w:rsid w:val="00251D73"/>
    <w:rsid w:val="00266B57"/>
    <w:rsid w:val="00271C25"/>
    <w:rsid w:val="002755E7"/>
    <w:rsid w:val="002A03F1"/>
    <w:rsid w:val="002C3003"/>
    <w:rsid w:val="002D2E6D"/>
    <w:rsid w:val="002E1432"/>
    <w:rsid w:val="002F1F8D"/>
    <w:rsid w:val="0030649A"/>
    <w:rsid w:val="003132A8"/>
    <w:rsid w:val="00316083"/>
    <w:rsid w:val="00320CC9"/>
    <w:rsid w:val="00332C8F"/>
    <w:rsid w:val="0034541B"/>
    <w:rsid w:val="00345A56"/>
    <w:rsid w:val="00352273"/>
    <w:rsid w:val="003605A5"/>
    <w:rsid w:val="00377ACD"/>
    <w:rsid w:val="00384E17"/>
    <w:rsid w:val="00386A72"/>
    <w:rsid w:val="003904DD"/>
    <w:rsid w:val="003D6002"/>
    <w:rsid w:val="003E074C"/>
    <w:rsid w:val="003F142B"/>
    <w:rsid w:val="0040572C"/>
    <w:rsid w:val="00413DA0"/>
    <w:rsid w:val="00423343"/>
    <w:rsid w:val="00427F18"/>
    <w:rsid w:val="00431D2B"/>
    <w:rsid w:val="00447B7B"/>
    <w:rsid w:val="00482605"/>
    <w:rsid w:val="00491453"/>
    <w:rsid w:val="00493B7D"/>
    <w:rsid w:val="004949A9"/>
    <w:rsid w:val="004A6135"/>
    <w:rsid w:val="004A643F"/>
    <w:rsid w:val="004B2CA8"/>
    <w:rsid w:val="004C1BBE"/>
    <w:rsid w:val="004C4706"/>
    <w:rsid w:val="004D0F66"/>
    <w:rsid w:val="004D64CE"/>
    <w:rsid w:val="004D7C2D"/>
    <w:rsid w:val="004F097B"/>
    <w:rsid w:val="00502659"/>
    <w:rsid w:val="00506BAA"/>
    <w:rsid w:val="00523438"/>
    <w:rsid w:val="00535BC3"/>
    <w:rsid w:val="005467C4"/>
    <w:rsid w:val="00551C03"/>
    <w:rsid w:val="00561764"/>
    <w:rsid w:val="00565992"/>
    <w:rsid w:val="00571FCE"/>
    <w:rsid w:val="005741E8"/>
    <w:rsid w:val="0058172B"/>
    <w:rsid w:val="005853E5"/>
    <w:rsid w:val="005915DD"/>
    <w:rsid w:val="00592FBB"/>
    <w:rsid w:val="00594EC7"/>
    <w:rsid w:val="005B3C50"/>
    <w:rsid w:val="005C37EF"/>
    <w:rsid w:val="005D4BB9"/>
    <w:rsid w:val="005F7843"/>
    <w:rsid w:val="006056CD"/>
    <w:rsid w:val="00607447"/>
    <w:rsid w:val="00616E3A"/>
    <w:rsid w:val="006547A6"/>
    <w:rsid w:val="006824F8"/>
    <w:rsid w:val="006A4287"/>
    <w:rsid w:val="006F7CE2"/>
    <w:rsid w:val="00700543"/>
    <w:rsid w:val="0070215E"/>
    <w:rsid w:val="00704B27"/>
    <w:rsid w:val="00713661"/>
    <w:rsid w:val="007230E0"/>
    <w:rsid w:val="0072596F"/>
    <w:rsid w:val="00736274"/>
    <w:rsid w:val="007406AF"/>
    <w:rsid w:val="007525AE"/>
    <w:rsid w:val="007747F4"/>
    <w:rsid w:val="007751CB"/>
    <w:rsid w:val="00780870"/>
    <w:rsid w:val="00782927"/>
    <w:rsid w:val="0078626E"/>
    <w:rsid w:val="00787420"/>
    <w:rsid w:val="00792738"/>
    <w:rsid w:val="00793A09"/>
    <w:rsid w:val="007A3455"/>
    <w:rsid w:val="007B27CD"/>
    <w:rsid w:val="007B3FEC"/>
    <w:rsid w:val="007C0195"/>
    <w:rsid w:val="007C072A"/>
    <w:rsid w:val="007D0414"/>
    <w:rsid w:val="007F1EDD"/>
    <w:rsid w:val="00803428"/>
    <w:rsid w:val="008102E7"/>
    <w:rsid w:val="0081163A"/>
    <w:rsid w:val="00815734"/>
    <w:rsid w:val="00840DCB"/>
    <w:rsid w:val="0085649A"/>
    <w:rsid w:val="008570E2"/>
    <w:rsid w:val="0086023D"/>
    <w:rsid w:val="008622D6"/>
    <w:rsid w:val="00864FF0"/>
    <w:rsid w:val="00867695"/>
    <w:rsid w:val="008812B9"/>
    <w:rsid w:val="0089030B"/>
    <w:rsid w:val="00894ED6"/>
    <w:rsid w:val="008B08EF"/>
    <w:rsid w:val="008B0E85"/>
    <w:rsid w:val="008B3833"/>
    <w:rsid w:val="008C7A0E"/>
    <w:rsid w:val="008D19DA"/>
    <w:rsid w:val="008D787D"/>
    <w:rsid w:val="008E1EB0"/>
    <w:rsid w:val="00912C14"/>
    <w:rsid w:val="00913E84"/>
    <w:rsid w:val="009363B4"/>
    <w:rsid w:val="00940C90"/>
    <w:rsid w:val="00947DD6"/>
    <w:rsid w:val="00952B2E"/>
    <w:rsid w:val="009539FE"/>
    <w:rsid w:val="00966620"/>
    <w:rsid w:val="00966711"/>
    <w:rsid w:val="009800E7"/>
    <w:rsid w:val="00985D4B"/>
    <w:rsid w:val="009A2983"/>
    <w:rsid w:val="009B0508"/>
    <w:rsid w:val="009D1AE6"/>
    <w:rsid w:val="009D5F62"/>
    <w:rsid w:val="009E022D"/>
    <w:rsid w:val="009E2087"/>
    <w:rsid w:val="009E4C62"/>
    <w:rsid w:val="009F58F2"/>
    <w:rsid w:val="00A2761C"/>
    <w:rsid w:val="00A3068B"/>
    <w:rsid w:val="00A415B0"/>
    <w:rsid w:val="00AC623C"/>
    <w:rsid w:val="00B01F35"/>
    <w:rsid w:val="00B02B59"/>
    <w:rsid w:val="00B37D5F"/>
    <w:rsid w:val="00B51C9C"/>
    <w:rsid w:val="00B550D2"/>
    <w:rsid w:val="00B555E6"/>
    <w:rsid w:val="00B63141"/>
    <w:rsid w:val="00B722BB"/>
    <w:rsid w:val="00B7759B"/>
    <w:rsid w:val="00B81A7E"/>
    <w:rsid w:val="00B86C4C"/>
    <w:rsid w:val="00B9087B"/>
    <w:rsid w:val="00BD36E9"/>
    <w:rsid w:val="00BD3AFE"/>
    <w:rsid w:val="00BE0833"/>
    <w:rsid w:val="00BF0D83"/>
    <w:rsid w:val="00BF3277"/>
    <w:rsid w:val="00C15F15"/>
    <w:rsid w:val="00C21B5A"/>
    <w:rsid w:val="00C46665"/>
    <w:rsid w:val="00C46F5C"/>
    <w:rsid w:val="00C54223"/>
    <w:rsid w:val="00C62124"/>
    <w:rsid w:val="00C655AA"/>
    <w:rsid w:val="00C72080"/>
    <w:rsid w:val="00C74F2C"/>
    <w:rsid w:val="00C85488"/>
    <w:rsid w:val="00C902B5"/>
    <w:rsid w:val="00CA43DB"/>
    <w:rsid w:val="00CC0092"/>
    <w:rsid w:val="00CF6FF3"/>
    <w:rsid w:val="00D027C5"/>
    <w:rsid w:val="00D03F97"/>
    <w:rsid w:val="00D12F3C"/>
    <w:rsid w:val="00D13F45"/>
    <w:rsid w:val="00D243B1"/>
    <w:rsid w:val="00D32B5D"/>
    <w:rsid w:val="00D430AA"/>
    <w:rsid w:val="00D43D6A"/>
    <w:rsid w:val="00D507FB"/>
    <w:rsid w:val="00D61BD0"/>
    <w:rsid w:val="00D64CEB"/>
    <w:rsid w:val="00D65CDA"/>
    <w:rsid w:val="00D70C29"/>
    <w:rsid w:val="00D82721"/>
    <w:rsid w:val="00D93189"/>
    <w:rsid w:val="00D96045"/>
    <w:rsid w:val="00DA3787"/>
    <w:rsid w:val="00DA6545"/>
    <w:rsid w:val="00DC1B36"/>
    <w:rsid w:val="00DD1214"/>
    <w:rsid w:val="00DF4444"/>
    <w:rsid w:val="00E0448D"/>
    <w:rsid w:val="00E23F38"/>
    <w:rsid w:val="00E302B5"/>
    <w:rsid w:val="00E336C5"/>
    <w:rsid w:val="00E3687B"/>
    <w:rsid w:val="00E42539"/>
    <w:rsid w:val="00E450CC"/>
    <w:rsid w:val="00E463BD"/>
    <w:rsid w:val="00E9121A"/>
    <w:rsid w:val="00E91EDC"/>
    <w:rsid w:val="00E941B2"/>
    <w:rsid w:val="00E95543"/>
    <w:rsid w:val="00EC163B"/>
    <w:rsid w:val="00ED087D"/>
    <w:rsid w:val="00ED186B"/>
    <w:rsid w:val="00EF1CE0"/>
    <w:rsid w:val="00F02B4F"/>
    <w:rsid w:val="00F04E72"/>
    <w:rsid w:val="00F14A8E"/>
    <w:rsid w:val="00F25D5F"/>
    <w:rsid w:val="00F3114F"/>
    <w:rsid w:val="00F543BE"/>
    <w:rsid w:val="00F60912"/>
    <w:rsid w:val="00F845FB"/>
    <w:rsid w:val="00F873CA"/>
    <w:rsid w:val="00F971C1"/>
    <w:rsid w:val="00FA552A"/>
    <w:rsid w:val="00FB5C8C"/>
    <w:rsid w:val="00FC16D1"/>
    <w:rsid w:val="00FE023E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  <w:style w:type="paragraph" w:customStyle="1" w:styleId="1">
    <w:name w:val="Абзац списка1"/>
    <w:basedOn w:val="a"/>
    <w:rsid w:val="000375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  <w:style w:type="paragraph" w:customStyle="1" w:styleId="1">
    <w:name w:val="Абзац списка1"/>
    <w:basedOn w:val="a"/>
    <w:rsid w:val="000375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laneta107.zp.ua/index.php/2010-06-16-15-34-17/2016-06-02-18-16-38?start=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66C13-023E-4837-8A03-156BE857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Григорівна</dc:creator>
  <cp:lastModifiedBy>Пользователь</cp:lastModifiedBy>
  <cp:revision>123</cp:revision>
  <cp:lastPrinted>2024-09-16T06:01:00Z</cp:lastPrinted>
  <dcterms:created xsi:type="dcterms:W3CDTF">2022-06-28T14:47:00Z</dcterms:created>
  <dcterms:modified xsi:type="dcterms:W3CDTF">2024-09-18T05:33:00Z</dcterms:modified>
</cp:coreProperties>
</file>